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7637" w14:textId="7279B92B" w:rsidR="00D544B0" w:rsidRDefault="00D544B0">
      <w:r>
        <w:rPr>
          <w:noProof/>
        </w:rPr>
        <w:drawing>
          <wp:anchor distT="0" distB="0" distL="114300" distR="114300" simplePos="0" relativeHeight="251658240" behindDoc="0" locked="0" layoutInCell="1" allowOverlap="1" wp14:anchorId="6C56A225" wp14:editId="4C1F2B7A">
            <wp:simplePos x="0" y="0"/>
            <wp:positionH relativeFrom="margin">
              <wp:posOffset>-1333500</wp:posOffset>
            </wp:positionH>
            <wp:positionV relativeFrom="page">
              <wp:align>top</wp:align>
            </wp:positionV>
            <wp:extent cx="8382562" cy="1725769"/>
            <wp:effectExtent l="0" t="0" r="0" b="8255"/>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562" cy="1725769"/>
                    </a:xfrm>
                    <a:prstGeom prst="rect">
                      <a:avLst/>
                    </a:prstGeom>
                  </pic:spPr>
                </pic:pic>
              </a:graphicData>
            </a:graphic>
          </wp:anchor>
        </w:drawing>
      </w:r>
    </w:p>
    <w:p w14:paraId="50DFBF10" w14:textId="77777777" w:rsidR="00D544B0" w:rsidRDefault="00D544B0"/>
    <w:p w14:paraId="6F915AC8" w14:textId="77777777" w:rsidR="00D544B0" w:rsidRDefault="00D544B0" w:rsidP="00D544B0">
      <w:pPr>
        <w:rPr>
          <w:rFonts w:ascii="Calibri" w:hAnsi="Calibri" w:cs="Calibri"/>
          <w:b/>
          <w:kern w:val="0"/>
          <w:sz w:val="22"/>
          <w:szCs w:val="22"/>
          <w:lang w:val="pt-BR"/>
          <w14:ligatures w14:val="none"/>
        </w:rPr>
      </w:pPr>
    </w:p>
    <w:p w14:paraId="5737104C" w14:textId="4F059B49" w:rsidR="00D544B0" w:rsidRPr="00D544B0" w:rsidRDefault="00D544B0" w:rsidP="00D544B0">
      <w:pPr>
        <w:rPr>
          <w:rFonts w:ascii="Calibri" w:hAnsi="Calibri" w:cs="Calibri"/>
          <w:b/>
          <w:bCs/>
          <w:kern w:val="0"/>
          <w:sz w:val="22"/>
          <w:szCs w:val="22"/>
          <w:lang w:val="pt-BR"/>
          <w14:ligatures w14:val="none"/>
        </w:rPr>
      </w:pPr>
      <w:r w:rsidRPr="00D544B0">
        <w:rPr>
          <w:rFonts w:ascii="Calibri" w:hAnsi="Calibri" w:cs="Calibri"/>
          <w:b/>
          <w:kern w:val="0"/>
          <w:sz w:val="22"/>
          <w:szCs w:val="22"/>
          <w:lang w:val="pt-BR"/>
          <w14:ligatures w14:val="none"/>
        </w:rPr>
        <w:t>PARA DIVULGAÇÃO IMEDIATA</w:t>
      </w:r>
    </w:p>
    <w:p w14:paraId="76791F34" w14:textId="77777777" w:rsidR="00D544B0" w:rsidRPr="00D544B0" w:rsidRDefault="00D544B0" w:rsidP="00D544B0">
      <w:pPr>
        <w:spacing w:after="160" w:line="259" w:lineRule="auto"/>
        <w:rPr>
          <w:b/>
          <w:bCs/>
          <w:color w:val="1F497D"/>
          <w:kern w:val="0"/>
          <w:sz w:val="16"/>
          <w:szCs w:val="16"/>
          <w:lang w:val="pt-BR"/>
          <w14:ligatures w14:val="none"/>
        </w:rPr>
      </w:pPr>
    </w:p>
    <w:p w14:paraId="1FAF07CD" w14:textId="77777777" w:rsidR="00D544B0" w:rsidRPr="00D544B0" w:rsidRDefault="00D544B0" w:rsidP="00D544B0">
      <w:pPr>
        <w:rPr>
          <w:rFonts w:ascii="Calibri" w:hAnsi="Calibri" w:cs="Calibri"/>
          <w:kern w:val="0"/>
          <w:sz w:val="22"/>
          <w:szCs w:val="22"/>
          <w:lang w:val="pt-BR"/>
          <w14:ligatures w14:val="none"/>
        </w:rPr>
      </w:pPr>
      <w:r w:rsidRPr="00D544B0">
        <w:rPr>
          <w:rFonts w:ascii="Calibri" w:hAnsi="Calibri" w:cs="Calibri"/>
          <w:kern w:val="0"/>
          <w:sz w:val="22"/>
          <w:szCs w:val="22"/>
          <w:lang w:val="pt-BR"/>
          <w14:ligatures w14:val="none"/>
        </w:rPr>
        <w:t>CONTATO</w:t>
      </w:r>
    </w:p>
    <w:p w14:paraId="4E9F5AED" w14:textId="1AFC5E10" w:rsidR="00D544B0" w:rsidRPr="00D544B0" w:rsidRDefault="00D544B0" w:rsidP="00D544B0">
      <w:pPr>
        <w:spacing w:after="160" w:line="259" w:lineRule="auto"/>
        <w:rPr>
          <w:kern w:val="0"/>
          <w:sz w:val="22"/>
          <w:szCs w:val="22"/>
          <w:lang w:val="pt-BR"/>
          <w14:ligatures w14:val="none"/>
        </w:rPr>
      </w:pPr>
      <w:r w:rsidRPr="00D544B0">
        <w:rPr>
          <w:kern w:val="0"/>
          <w:sz w:val="22"/>
          <w:szCs w:val="22"/>
          <w:lang w:val="pt-BR"/>
          <w14:ligatures w14:val="none"/>
        </w:rPr>
        <w:t>Omar Cabrera</w:t>
      </w:r>
      <w:r w:rsidR="001E0286">
        <w:rPr>
          <w:kern w:val="0"/>
          <w:sz w:val="22"/>
          <w:szCs w:val="22"/>
          <w:lang w:val="pt-BR"/>
          <w14:ligatures w14:val="none"/>
        </w:rPr>
        <w:br/>
      </w:r>
      <w:hyperlink r:id="rId7" w:history="1">
        <w:r w:rsidR="001E0286" w:rsidRPr="00392FA4">
          <w:rPr>
            <w:rStyle w:val="Hyperlink"/>
            <w:kern w:val="0"/>
            <w:sz w:val="22"/>
            <w:szCs w:val="22"/>
            <w:lang w:val="pt-BR"/>
            <w14:ligatures w14:val="none"/>
          </w:rPr>
          <w:t>Omar.Cabrera@mass.gov</w:t>
        </w:r>
      </w:hyperlink>
    </w:p>
    <w:p w14:paraId="52701D7F" w14:textId="77777777" w:rsidR="00D544B0" w:rsidRPr="00D544B0" w:rsidRDefault="00D544B0" w:rsidP="00D544B0">
      <w:pPr>
        <w:spacing w:after="160" w:line="259" w:lineRule="auto"/>
        <w:jc w:val="center"/>
        <w:rPr>
          <w:kern w:val="0"/>
          <w:sz w:val="22"/>
          <w:szCs w:val="22"/>
          <w:lang w:val="pt-BR"/>
          <w14:ligatures w14:val="none"/>
        </w:rPr>
      </w:pPr>
    </w:p>
    <w:p w14:paraId="32288474" w14:textId="77777777" w:rsidR="00D544B0" w:rsidRPr="00D544B0" w:rsidRDefault="00D544B0" w:rsidP="00D544B0">
      <w:pPr>
        <w:spacing w:after="160" w:line="259" w:lineRule="auto"/>
        <w:jc w:val="center"/>
        <w:rPr>
          <w:b/>
          <w:bCs/>
          <w:kern w:val="0"/>
          <w:sz w:val="32"/>
          <w:szCs w:val="32"/>
          <w:lang w:val="pt-BR"/>
          <w14:ligatures w14:val="none"/>
        </w:rPr>
      </w:pPr>
      <w:r w:rsidRPr="00D544B0">
        <w:rPr>
          <w:b/>
          <w:kern w:val="0"/>
          <w:sz w:val="32"/>
          <w:szCs w:val="22"/>
          <w:lang w:val="pt-BR"/>
          <w14:ligatures w14:val="none"/>
        </w:rPr>
        <w:t>O Departamento de Saúde Pública (Department of Public Health) aconselha que os consumidores descartem os brotos de feijão da Chang Farm</w:t>
      </w:r>
    </w:p>
    <w:p w14:paraId="576E1E85" w14:textId="77777777" w:rsidR="00D544B0" w:rsidRPr="00D544B0" w:rsidRDefault="00D544B0" w:rsidP="00D544B0">
      <w:pPr>
        <w:spacing w:after="160" w:line="259" w:lineRule="auto"/>
        <w:jc w:val="center"/>
        <w:rPr>
          <w:i/>
          <w:iCs/>
          <w:kern w:val="0"/>
          <w:sz w:val="28"/>
          <w:szCs w:val="28"/>
          <w:lang w:val="pt-BR"/>
          <w14:ligatures w14:val="none"/>
        </w:rPr>
      </w:pPr>
      <w:r w:rsidRPr="00D544B0">
        <w:rPr>
          <w:i/>
          <w:kern w:val="0"/>
          <w:sz w:val="28"/>
          <w:szCs w:val="22"/>
          <w:lang w:val="pt-BR"/>
          <w14:ligatures w14:val="none"/>
        </w:rPr>
        <w:t>A empresa está recolhendo o produto devido a uma contaminação por Listeria em curso</w:t>
      </w:r>
    </w:p>
    <w:p w14:paraId="3695BFFD" w14:textId="77777777" w:rsidR="00D544B0" w:rsidRPr="00D544B0" w:rsidRDefault="00D544B0" w:rsidP="00D544B0">
      <w:pPr>
        <w:spacing w:after="160" w:line="259" w:lineRule="auto"/>
        <w:ind w:left="720" w:firstLine="720"/>
        <w:rPr>
          <w:i/>
          <w:iCs/>
          <w:kern w:val="0"/>
          <w:sz w:val="22"/>
          <w:szCs w:val="22"/>
          <w:lang w:val="pt-BR"/>
          <w14:ligatures w14:val="none"/>
        </w:rPr>
      </w:pPr>
    </w:p>
    <w:p w14:paraId="29F3276D" w14:textId="77777777" w:rsidR="00D544B0" w:rsidRPr="00D544B0" w:rsidRDefault="00D544B0" w:rsidP="00D544B0">
      <w:pPr>
        <w:spacing w:after="160" w:line="276" w:lineRule="auto"/>
        <w:rPr>
          <w:kern w:val="0"/>
          <w:lang w:val="pt-BR"/>
          <w14:ligatures w14:val="none"/>
        </w:rPr>
      </w:pPr>
      <w:r w:rsidRPr="00D544B0">
        <w:rPr>
          <w:b/>
          <w:kern w:val="0"/>
          <w:szCs w:val="22"/>
          <w:lang w:val="pt-BR"/>
          <w14:ligatures w14:val="none"/>
        </w:rPr>
        <w:t xml:space="preserve">BOSTON </w:t>
      </w:r>
      <w:r w:rsidRPr="00D544B0">
        <w:rPr>
          <w:kern w:val="0"/>
          <w:szCs w:val="22"/>
          <w:lang w:val="pt-BR"/>
          <w14:ligatures w14:val="none"/>
        </w:rPr>
        <w:t>(9 de maio de 2023)</w:t>
      </w:r>
      <w:r w:rsidRPr="00D544B0">
        <w:rPr>
          <w:b/>
          <w:kern w:val="0"/>
          <w:szCs w:val="22"/>
          <w:lang w:val="pt-BR"/>
          <w14:ligatures w14:val="none"/>
        </w:rPr>
        <w:t xml:space="preserve"> </w:t>
      </w:r>
      <w:r w:rsidRPr="00D544B0">
        <w:rPr>
          <w:kern w:val="0"/>
          <w:szCs w:val="22"/>
          <w:lang w:val="pt-BR"/>
          <w14:ligatures w14:val="none"/>
        </w:rPr>
        <w:t>–</w:t>
      </w:r>
      <w:r w:rsidRPr="00D544B0">
        <w:rPr>
          <w:b/>
          <w:kern w:val="0"/>
          <w:szCs w:val="22"/>
          <w:lang w:val="pt-BR"/>
          <w14:ligatures w14:val="none"/>
        </w:rPr>
        <w:t xml:space="preserve"> </w:t>
      </w:r>
      <w:r w:rsidRPr="00D544B0">
        <w:rPr>
          <w:kern w:val="0"/>
          <w:szCs w:val="22"/>
          <w:lang w:val="pt-BR"/>
          <w14:ligatures w14:val="none"/>
        </w:rPr>
        <w:t xml:space="preserve">O Departamento de Saúde Pública (Department of Public Health – DPH) de Massachusetts informa os consumidores que a Chang Farm em Whatley, MA, está recolhendo brotos de feição devido à possibilidade de contaminação por </w:t>
      </w:r>
      <w:r w:rsidRPr="00D544B0">
        <w:rPr>
          <w:i/>
          <w:kern w:val="0"/>
          <w:szCs w:val="22"/>
          <w:lang w:val="pt-BR"/>
          <w14:ligatures w14:val="none"/>
        </w:rPr>
        <w:t>Listeria monocytogenes</w:t>
      </w:r>
      <w:r w:rsidRPr="00D544B0">
        <w:rPr>
          <w:kern w:val="0"/>
          <w:szCs w:val="22"/>
          <w:lang w:val="pt-BR"/>
          <w14:ligatures w14:val="none"/>
        </w:rPr>
        <w:t xml:space="preserve">. A Agência Federal de Alimentos e Medicamentos (Food and Drug Administration – FDA) dos EUA anunciou na semana passada que a Chang Farm recolheu voluntariamente todas os sacos de 10 libras, assim como as os sacos de varejo de 12 onças com a data máxima de venda de 7 de maio de 2023. Os produtos afetados são vendidos sob as marcas Chang Farm e Nature’s Wonder. </w:t>
      </w:r>
    </w:p>
    <w:p w14:paraId="703C4441" w14:textId="77777777" w:rsidR="00D544B0" w:rsidRPr="00D544B0" w:rsidRDefault="00D544B0" w:rsidP="00D544B0">
      <w:pPr>
        <w:spacing w:after="160" w:line="276" w:lineRule="auto"/>
        <w:rPr>
          <w:kern w:val="0"/>
          <w:lang w:val="pt-BR"/>
          <w14:ligatures w14:val="none"/>
        </w:rPr>
      </w:pPr>
    </w:p>
    <w:p w14:paraId="531372A4" w14:textId="77777777" w:rsidR="00D544B0" w:rsidRPr="00D544B0" w:rsidRDefault="00D544B0" w:rsidP="00D544B0">
      <w:pPr>
        <w:spacing w:after="160" w:line="276" w:lineRule="auto"/>
        <w:rPr>
          <w:kern w:val="0"/>
          <w:lang w:val="pt-BR"/>
          <w14:ligatures w14:val="none"/>
        </w:rPr>
      </w:pPr>
      <w:r w:rsidRPr="00D544B0">
        <w:rPr>
          <w:kern w:val="0"/>
          <w:szCs w:val="22"/>
          <w:lang w:val="pt-BR"/>
          <w14:ligatures w14:val="none"/>
        </w:rPr>
        <w:t xml:space="preserve">Com base nos resultados preliminares do Laboratório de Saúde Pública Estadual (State Public Health Laboratory), o DPH suspeita que os brotos de feijão com data máxima de venda </w:t>
      </w:r>
      <w:r w:rsidRPr="00D544B0">
        <w:rPr>
          <w:b/>
          <w:kern w:val="0"/>
          <w:szCs w:val="22"/>
          <w:lang w:val="pt-BR"/>
          <w14:ligatures w14:val="none"/>
        </w:rPr>
        <w:t>após</w:t>
      </w:r>
      <w:r w:rsidRPr="00D544B0">
        <w:rPr>
          <w:kern w:val="0"/>
          <w:szCs w:val="22"/>
          <w:lang w:val="pt-BR"/>
          <w14:ligatures w14:val="none"/>
        </w:rPr>
        <w:t xml:space="preserve"> 7 de maio de 2023 também podem estar contaminados e aconselha as pessoas a não consumir </w:t>
      </w:r>
      <w:r w:rsidRPr="00D544B0">
        <w:rPr>
          <w:b/>
          <w:kern w:val="0"/>
          <w:szCs w:val="22"/>
          <w:lang w:val="pt-BR"/>
          <w14:ligatures w14:val="none"/>
        </w:rPr>
        <w:t>NENHUM</w:t>
      </w:r>
      <w:r w:rsidRPr="00D544B0">
        <w:rPr>
          <w:kern w:val="0"/>
          <w:szCs w:val="22"/>
          <w:lang w:val="pt-BR"/>
          <w14:ligatures w14:val="none"/>
        </w:rPr>
        <w:t xml:space="preserve"> broto de feijão da Chang Farm até segunda ordem. A Chang Farm está cooperando com as autoridades estaduais e concordou em suspender as operações e distribuição desse produto até que sejam feitas mais investigações sobre a fonte da contaminação.</w:t>
      </w:r>
    </w:p>
    <w:p w14:paraId="2C21CF54" w14:textId="64474D43" w:rsidR="00D544B0" w:rsidRPr="00D544B0" w:rsidRDefault="00D544B0" w:rsidP="00D544B0">
      <w:pPr>
        <w:spacing w:after="160" w:line="276" w:lineRule="auto"/>
        <w:rPr>
          <w:i/>
          <w:iCs/>
          <w:kern w:val="0"/>
          <w:lang w:val="pt-BR"/>
          <w14:ligatures w14:val="none"/>
        </w:rPr>
      </w:pPr>
    </w:p>
    <w:p w14:paraId="281B8383" w14:textId="77777777" w:rsidR="00D544B0" w:rsidRPr="00D544B0" w:rsidRDefault="00D544B0" w:rsidP="00D544B0">
      <w:pPr>
        <w:spacing w:after="160" w:line="276" w:lineRule="auto"/>
        <w:rPr>
          <w:kern w:val="0"/>
          <w:lang w:val="pt-BR"/>
          <w14:ligatures w14:val="none"/>
        </w:rPr>
      </w:pPr>
      <w:r w:rsidRPr="00D544B0">
        <w:rPr>
          <w:kern w:val="0"/>
          <w:szCs w:val="22"/>
          <w:lang w:val="pt-BR"/>
          <w14:ligatures w14:val="none"/>
        </w:rPr>
        <w:lastRenderedPageBreak/>
        <w:t xml:space="preserve">A </w:t>
      </w:r>
      <w:r w:rsidRPr="00D544B0">
        <w:rPr>
          <w:i/>
          <w:kern w:val="0"/>
          <w:szCs w:val="22"/>
          <w:lang w:val="pt-BR"/>
          <w14:ligatures w14:val="none"/>
        </w:rPr>
        <w:t>Listeria monocytogenes</w:t>
      </w:r>
      <w:r w:rsidRPr="00D544B0">
        <w:rPr>
          <w:kern w:val="0"/>
          <w:szCs w:val="22"/>
          <w:lang w:val="pt-BR"/>
          <w14:ligatures w14:val="none"/>
        </w:rPr>
        <w:t xml:space="preserve"> é um organismo que pode causar infecções sérias e por vezes fatais em crianças pequenas, idosos, pessoas frágeis, que estejam grávidas ou tenham um sistema imune enfraquecido. Embora indivíduos saudáveis possam sofrer apenas sintomas no curto prazo, como febre alta, dores de cabeça intensas, rigidez, náusea, dor abdominal e diarreia, a infecção por </w:t>
      </w:r>
      <w:r w:rsidRPr="00D544B0">
        <w:rPr>
          <w:i/>
          <w:kern w:val="0"/>
          <w:szCs w:val="22"/>
          <w:lang w:val="pt-BR"/>
          <w14:ligatures w14:val="none"/>
        </w:rPr>
        <w:t>Listeria</w:t>
      </w:r>
      <w:r w:rsidRPr="00D544B0">
        <w:rPr>
          <w:kern w:val="0"/>
          <w:szCs w:val="22"/>
          <w:lang w:val="pt-BR"/>
          <w14:ligatures w14:val="none"/>
        </w:rPr>
        <w:t xml:space="preserve"> pode causar abortos espontâneos e natimorte.</w:t>
      </w:r>
    </w:p>
    <w:p w14:paraId="429102B2" w14:textId="77777777" w:rsidR="00D544B0" w:rsidRPr="00D544B0" w:rsidRDefault="00D544B0" w:rsidP="00D544B0">
      <w:pPr>
        <w:spacing w:after="160" w:line="276" w:lineRule="auto"/>
        <w:rPr>
          <w:kern w:val="0"/>
          <w:lang w:val="pt-BR"/>
          <w14:ligatures w14:val="none"/>
        </w:rPr>
      </w:pPr>
    </w:p>
    <w:p w14:paraId="502132CA" w14:textId="77777777" w:rsidR="00D544B0" w:rsidRPr="00D544B0" w:rsidRDefault="00D544B0" w:rsidP="00D544B0">
      <w:pPr>
        <w:spacing w:after="160" w:line="276" w:lineRule="auto"/>
        <w:rPr>
          <w:kern w:val="0"/>
          <w:lang w:val="pt-BR"/>
          <w14:ligatures w14:val="none"/>
        </w:rPr>
      </w:pPr>
      <w:r w:rsidRPr="00D544B0">
        <w:rPr>
          <w:kern w:val="0"/>
          <w:szCs w:val="22"/>
          <w:lang w:val="pt-BR"/>
          <w14:ligatures w14:val="none"/>
        </w:rPr>
        <w:t>Os produtos foram distribuídos em lojas de varejo e atacado em Massachusetts, Connecticut, Nova York e Nova Jersey.</w:t>
      </w:r>
    </w:p>
    <w:p w14:paraId="24A65E34" w14:textId="77777777" w:rsidR="00D544B0" w:rsidRPr="00D544B0" w:rsidRDefault="00D544B0" w:rsidP="00D544B0">
      <w:pPr>
        <w:spacing w:after="160" w:line="276" w:lineRule="auto"/>
        <w:rPr>
          <w:kern w:val="0"/>
          <w:lang w:val="pt-BR"/>
          <w14:ligatures w14:val="none"/>
        </w:rPr>
      </w:pPr>
    </w:p>
    <w:p w14:paraId="1D78BD2C" w14:textId="77777777" w:rsidR="00D544B0" w:rsidRPr="00D544B0" w:rsidRDefault="00D544B0" w:rsidP="00D544B0">
      <w:pPr>
        <w:spacing w:after="160" w:line="276" w:lineRule="auto"/>
        <w:rPr>
          <w:kern w:val="0"/>
          <w:lang w:val="pt-BR"/>
          <w14:ligatures w14:val="none"/>
        </w:rPr>
      </w:pPr>
      <w:r w:rsidRPr="00D544B0">
        <w:rPr>
          <w:kern w:val="0"/>
          <w:szCs w:val="22"/>
          <w:lang w:val="pt-BR"/>
          <w14:ligatures w14:val="none"/>
        </w:rPr>
        <w:t>Caso brotos de feijão da Chang Farm tenham estado ou estejam em sua casa:</w:t>
      </w:r>
    </w:p>
    <w:p w14:paraId="3BFDF104" w14:textId="77777777" w:rsidR="00D544B0" w:rsidRPr="00D544B0" w:rsidRDefault="00D544B0" w:rsidP="00D544B0">
      <w:pPr>
        <w:numPr>
          <w:ilvl w:val="0"/>
          <w:numId w:val="1"/>
        </w:numPr>
        <w:spacing w:after="160" w:line="276" w:lineRule="auto"/>
        <w:contextualSpacing/>
        <w:rPr>
          <w:rFonts w:ascii="Calibri" w:eastAsia="Times New Roman" w:hAnsi="Calibri" w:cs="Calibri"/>
          <w:kern w:val="0"/>
          <w:lang w:val="pt-BR"/>
          <w14:ligatures w14:val="none"/>
        </w:rPr>
      </w:pPr>
      <w:r w:rsidRPr="00D544B0">
        <w:rPr>
          <w:rFonts w:ascii="Calibri" w:hAnsi="Calibri" w:cs="Calibri"/>
          <w:kern w:val="0"/>
          <w:szCs w:val="22"/>
          <w:lang w:val="pt-BR"/>
          <w14:ligatures w14:val="none"/>
        </w:rPr>
        <w:t>Descarte os produtos em uma sacola plástica fechada colocada em um saco de lixo selado para prevenir que pessoas e animais comam o produto.</w:t>
      </w:r>
    </w:p>
    <w:p w14:paraId="1813EA7E" w14:textId="77777777" w:rsidR="00D544B0" w:rsidRPr="00D544B0" w:rsidRDefault="00D544B0" w:rsidP="00D544B0">
      <w:pPr>
        <w:numPr>
          <w:ilvl w:val="0"/>
          <w:numId w:val="1"/>
        </w:numPr>
        <w:spacing w:after="160" w:line="276" w:lineRule="auto"/>
        <w:contextualSpacing/>
        <w:rPr>
          <w:rFonts w:ascii="Calibri" w:eastAsia="Times New Roman" w:hAnsi="Calibri" w:cs="Calibri"/>
          <w:kern w:val="0"/>
          <w:lang w:val="pt-BR"/>
          <w14:ligatures w14:val="none"/>
        </w:rPr>
      </w:pPr>
      <w:r w:rsidRPr="00D544B0">
        <w:rPr>
          <w:rFonts w:ascii="Calibri" w:hAnsi="Calibri" w:cs="Calibri"/>
          <w:kern w:val="0"/>
          <w:szCs w:val="22"/>
          <w:lang w:val="pt-BR"/>
          <w14:ligatures w14:val="none"/>
        </w:rPr>
        <w:t>Lave as paredes internas e as prateleiras da geladeira, tábuas de corte e balcões; depois, higienize esses itens com uma solução de uma colher de sopa de água sanitária com cloro para um galão de água quente.</w:t>
      </w:r>
    </w:p>
    <w:p w14:paraId="4F17948D" w14:textId="77777777" w:rsidR="00D544B0" w:rsidRPr="00D544B0" w:rsidRDefault="00D544B0" w:rsidP="00D544B0">
      <w:pPr>
        <w:numPr>
          <w:ilvl w:val="0"/>
          <w:numId w:val="1"/>
        </w:numPr>
        <w:spacing w:after="160" w:line="276" w:lineRule="auto"/>
        <w:contextualSpacing/>
        <w:rPr>
          <w:rFonts w:ascii="Calibri" w:eastAsia="Times New Roman" w:hAnsi="Calibri" w:cs="Calibri"/>
          <w:kern w:val="0"/>
          <w:lang w:val="pt-BR"/>
          <w14:ligatures w14:val="none"/>
        </w:rPr>
      </w:pPr>
      <w:r w:rsidRPr="00D544B0">
        <w:rPr>
          <w:rFonts w:ascii="Calibri" w:hAnsi="Calibri" w:cs="Calibri"/>
          <w:kern w:val="0"/>
          <w:szCs w:val="22"/>
          <w:lang w:val="pt-BR"/>
          <w14:ligatures w14:val="none"/>
        </w:rPr>
        <w:t>Seque os itens com um pano seco ou uma toalha de papel limpa.</w:t>
      </w:r>
    </w:p>
    <w:p w14:paraId="56AAC894" w14:textId="77777777" w:rsidR="00D544B0" w:rsidRPr="00D544B0" w:rsidRDefault="00D544B0" w:rsidP="00D544B0">
      <w:pPr>
        <w:numPr>
          <w:ilvl w:val="0"/>
          <w:numId w:val="1"/>
        </w:numPr>
        <w:spacing w:after="160" w:line="276" w:lineRule="auto"/>
        <w:contextualSpacing/>
        <w:rPr>
          <w:rFonts w:ascii="Calibri" w:eastAsia="Times New Roman" w:hAnsi="Calibri" w:cs="Calibri"/>
          <w:kern w:val="0"/>
          <w:lang w:val="pt-BR"/>
          <w14:ligatures w14:val="none"/>
        </w:rPr>
      </w:pPr>
      <w:r w:rsidRPr="00D544B0">
        <w:rPr>
          <w:rFonts w:ascii="Calibri" w:hAnsi="Calibri" w:cs="Calibri"/>
          <w:kern w:val="0"/>
          <w:szCs w:val="22"/>
          <w:lang w:val="pt-BR"/>
          <w14:ligatures w14:val="none"/>
        </w:rPr>
        <w:t>Limpe o que for derramado na geladeira imediatamente e limpe a geladeira com frequência.</w:t>
      </w:r>
    </w:p>
    <w:p w14:paraId="70DDAA0F" w14:textId="77777777" w:rsidR="00D544B0" w:rsidRPr="00D544B0" w:rsidRDefault="00D544B0" w:rsidP="00D544B0">
      <w:pPr>
        <w:numPr>
          <w:ilvl w:val="0"/>
          <w:numId w:val="1"/>
        </w:numPr>
        <w:spacing w:after="160" w:line="276" w:lineRule="auto"/>
        <w:contextualSpacing/>
        <w:rPr>
          <w:rFonts w:ascii="Calibri" w:eastAsia="Times New Roman" w:hAnsi="Calibri" w:cs="Calibri"/>
          <w:kern w:val="0"/>
          <w:lang w:val="pt-BR"/>
          <w14:ligatures w14:val="none"/>
        </w:rPr>
      </w:pPr>
      <w:r w:rsidRPr="00D544B0">
        <w:rPr>
          <w:rFonts w:ascii="Calibri" w:hAnsi="Calibri" w:cs="Calibri"/>
          <w:kern w:val="0"/>
          <w:szCs w:val="22"/>
          <w:lang w:val="pt-BR"/>
          <w14:ligatures w14:val="none"/>
        </w:rPr>
        <w:t>Sempre lave as mãos com água quente e sabão após fazer a limpeza e higienização.</w:t>
      </w:r>
    </w:p>
    <w:p w14:paraId="02D1E88E" w14:textId="77777777" w:rsidR="00D544B0" w:rsidRPr="00D544B0" w:rsidRDefault="00D544B0" w:rsidP="00D544B0">
      <w:pPr>
        <w:spacing w:after="160" w:line="276" w:lineRule="auto"/>
        <w:rPr>
          <w:kern w:val="0"/>
          <w:lang w:val="pt-BR"/>
          <w14:ligatures w14:val="none"/>
        </w:rPr>
      </w:pPr>
      <w:r w:rsidRPr="00D544B0">
        <w:rPr>
          <w:kern w:val="0"/>
          <w:szCs w:val="22"/>
          <w:lang w:val="pt-BR"/>
          <w14:ligatures w14:val="none"/>
        </w:rPr>
        <w:t xml:space="preserve">Os consumidores devem entrar em contato com seu médico se tiver suspeitas de doença. Os consumidores que tiverem dúvidas sobre o aviso podem entrar em contato com a Chang Farm pelos números 413-522-0234 ou 413-222-5519 24 horas por dia, 7 dias por semana. </w:t>
      </w:r>
    </w:p>
    <w:p w14:paraId="49D340AA" w14:textId="77777777" w:rsidR="00D544B0" w:rsidRPr="00D544B0" w:rsidRDefault="00D544B0" w:rsidP="00D544B0">
      <w:pPr>
        <w:spacing w:after="160" w:line="276" w:lineRule="auto"/>
        <w:rPr>
          <w:kern w:val="0"/>
          <w:sz w:val="22"/>
          <w:szCs w:val="22"/>
          <w:lang w:val="pt-BR"/>
          <w14:ligatures w14:val="none"/>
        </w:rPr>
      </w:pPr>
    </w:p>
    <w:p w14:paraId="486492A0" w14:textId="77777777" w:rsidR="00D544B0" w:rsidRPr="00D544B0" w:rsidRDefault="00D544B0" w:rsidP="00D544B0">
      <w:pPr>
        <w:spacing w:after="160" w:line="259" w:lineRule="auto"/>
        <w:rPr>
          <w:kern w:val="0"/>
          <w:lang w:val="pt-BR"/>
          <w14:ligatures w14:val="none"/>
        </w:rPr>
      </w:pPr>
    </w:p>
    <w:p w14:paraId="5559DEF0" w14:textId="77777777" w:rsidR="00D544B0" w:rsidRPr="00D544B0" w:rsidRDefault="00D544B0" w:rsidP="00D544B0">
      <w:pPr>
        <w:spacing w:after="160" w:line="259" w:lineRule="auto"/>
        <w:rPr>
          <w:kern w:val="0"/>
          <w:lang w:val="pt-BR"/>
          <w14:ligatures w14:val="none"/>
        </w:rPr>
      </w:pPr>
    </w:p>
    <w:p w14:paraId="73CA7CB8" w14:textId="77777777" w:rsidR="00D544B0" w:rsidRPr="00D544B0" w:rsidRDefault="00D544B0" w:rsidP="00D544B0">
      <w:pPr>
        <w:spacing w:after="160" w:line="259" w:lineRule="auto"/>
        <w:jc w:val="center"/>
        <w:rPr>
          <w:kern w:val="0"/>
          <w:lang w:val="pt-BR"/>
          <w14:ligatures w14:val="none"/>
        </w:rPr>
      </w:pPr>
      <w:r w:rsidRPr="00D544B0">
        <w:rPr>
          <w:kern w:val="0"/>
          <w:szCs w:val="22"/>
          <w:lang w:val="pt-BR"/>
          <w14:ligatures w14:val="none"/>
        </w:rPr>
        <w:t>###</w:t>
      </w:r>
    </w:p>
    <w:p w14:paraId="20AF7EDB" w14:textId="58348907"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44A"/>
    <w:multiLevelType w:val="hybridMultilevel"/>
    <w:tmpl w:val="800E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83"/>
    <w:rsid w:val="001E0286"/>
    <w:rsid w:val="00640783"/>
    <w:rsid w:val="00D5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286"/>
    <w:rPr>
      <w:color w:val="0563C1" w:themeColor="hyperlink"/>
      <w:u w:val="single"/>
    </w:rPr>
  </w:style>
  <w:style w:type="character" w:styleId="UnresolvedMention">
    <w:name w:val="Unresolved Mention"/>
    <w:basedOn w:val="DefaultParagraphFont"/>
    <w:uiPriority w:val="99"/>
    <w:semiHidden/>
    <w:unhideWhenUsed/>
    <w:rsid w:val="001E0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mar.Cabrera@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FA67-5C49-C842-9ADD-3D37D5E7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Cabrera, Omar (DPH)</cp:lastModifiedBy>
  <cp:revision>3</cp:revision>
  <dcterms:created xsi:type="dcterms:W3CDTF">2023-05-11T18:27:00Z</dcterms:created>
  <dcterms:modified xsi:type="dcterms:W3CDTF">2023-05-11T18:42:00Z</dcterms:modified>
</cp:coreProperties>
</file>